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DE6010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714DC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811E57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</w:t>
      </w:r>
      <w:r w:rsidR="00A039F7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 xml:space="preserve"> » мая 2025г.   № </w:t>
      </w:r>
      <w:r w:rsidR="00DE6010">
        <w:rPr>
          <w:rFonts w:ascii="Arial" w:hAnsi="Arial" w:cs="Arial"/>
          <w:b/>
          <w:sz w:val="32"/>
          <w:szCs w:val="32"/>
        </w:rPr>
        <w:t>61-161</w:t>
      </w:r>
      <w:r w:rsidR="00A039F7">
        <w:rPr>
          <w:rFonts w:ascii="Arial" w:hAnsi="Arial" w:cs="Arial"/>
          <w:b/>
          <w:sz w:val="32"/>
          <w:szCs w:val="32"/>
        </w:rPr>
        <w:t>-7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DE6010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</w:t>
      </w:r>
      <w:r w:rsidR="00DE6010">
        <w:rPr>
          <w:rFonts w:ascii="Arial" w:hAnsi="Arial" w:cs="Arial"/>
          <w:b/>
          <w:sz w:val="32"/>
          <w:szCs w:val="32"/>
        </w:rPr>
        <w:t>льсовета от 21.12.2021 г. № 3-11</w:t>
      </w:r>
      <w:r>
        <w:rPr>
          <w:rFonts w:ascii="Arial" w:hAnsi="Arial" w:cs="Arial"/>
          <w:b/>
          <w:sz w:val="32"/>
          <w:szCs w:val="32"/>
        </w:rPr>
        <w:t>-7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proofErr w:type="spellStart"/>
      <w:r w:rsidR="00DE6010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14DC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</w:t>
      </w:r>
      <w:proofErr w:type="spellStart"/>
      <w:r w:rsidR="00187F0C">
        <w:rPr>
          <w:rFonts w:ascii="Arial" w:hAnsi="Arial" w:cs="Arial"/>
          <w:sz w:val="24"/>
          <w:szCs w:val="24"/>
        </w:rPr>
        <w:t>Щигровской</w:t>
      </w:r>
      <w:proofErr w:type="spellEnd"/>
      <w:r w:rsidR="00187F0C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</w:t>
      </w:r>
      <w:proofErr w:type="gramStart"/>
      <w:r w:rsidR="00811E57">
        <w:rPr>
          <w:rFonts w:ascii="Arial" w:hAnsi="Arial" w:cs="Arial"/>
          <w:sz w:val="24"/>
          <w:szCs w:val="24"/>
        </w:rPr>
        <w:t>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DC9" w:rsidRPr="003E4C16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DE6010">
        <w:rPr>
          <w:rFonts w:ascii="Arial" w:hAnsi="Arial" w:cs="Arial"/>
          <w:sz w:val="24"/>
          <w:szCs w:val="24"/>
        </w:rPr>
        <w:t>от 21.12.2021. г. №3-11</w:t>
      </w:r>
      <w:r w:rsidR="003A450F" w:rsidRPr="003E4C16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 xml:space="preserve">при условии, что стаж муниципальной службы составляет не менее 15 лет» заменить словами </w:t>
      </w:r>
      <w:proofErr w:type="gramStart"/>
      <w:r w:rsidR="00642A62">
        <w:rPr>
          <w:rFonts w:ascii="Arial" w:hAnsi="Arial" w:cs="Arial"/>
          <w:sz w:val="24"/>
          <w:szCs w:val="24"/>
        </w:rPr>
        <w:t>« при</w:t>
      </w:r>
      <w:proofErr w:type="gramEnd"/>
      <w:r w:rsidR="00642A62">
        <w:rPr>
          <w:rFonts w:ascii="Arial" w:hAnsi="Arial" w:cs="Arial"/>
          <w:sz w:val="24"/>
          <w:szCs w:val="24"/>
        </w:rPr>
        <w:t xml:space="preserve">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с </w:t>
      </w:r>
    </w:p>
    <w:p w:rsidR="00280F63" w:rsidRDefault="009E6B11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</w:t>
      </w:r>
      <w:proofErr w:type="gramStart"/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280F63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F63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E6010" w:rsidRDefault="00DE6010" w:rsidP="004B7AEE">
      <w:pPr>
        <w:jc w:val="both"/>
        <w:rPr>
          <w:rFonts w:ascii="Arial" w:hAnsi="Arial" w:cs="Arial"/>
          <w:sz w:val="24"/>
          <w:szCs w:val="24"/>
        </w:rPr>
      </w:pPr>
    </w:p>
    <w:p w:rsidR="00DE6010" w:rsidRDefault="00DE6010" w:rsidP="004B7AEE">
      <w:pPr>
        <w:jc w:val="both"/>
        <w:rPr>
          <w:rFonts w:ascii="Arial" w:hAnsi="Arial" w:cs="Arial"/>
          <w:sz w:val="24"/>
          <w:szCs w:val="24"/>
        </w:rPr>
      </w:pPr>
    </w:p>
    <w:p w:rsidR="00DE6010" w:rsidRDefault="00DE6010" w:rsidP="004B7AEE">
      <w:pPr>
        <w:jc w:val="both"/>
        <w:rPr>
          <w:rFonts w:ascii="Arial" w:hAnsi="Arial" w:cs="Arial"/>
          <w:sz w:val="24"/>
          <w:szCs w:val="24"/>
        </w:rPr>
      </w:pPr>
    </w:p>
    <w:p w:rsidR="00DE6010" w:rsidRDefault="00DE6010" w:rsidP="004B7AEE">
      <w:pPr>
        <w:jc w:val="both"/>
        <w:rPr>
          <w:rFonts w:ascii="Arial" w:hAnsi="Arial" w:cs="Arial"/>
          <w:sz w:val="24"/>
          <w:szCs w:val="24"/>
        </w:rPr>
      </w:pPr>
    </w:p>
    <w:p w:rsidR="00DE6010" w:rsidRDefault="00DE6010" w:rsidP="004B7AEE">
      <w:pPr>
        <w:jc w:val="both"/>
        <w:rPr>
          <w:rFonts w:ascii="Arial" w:hAnsi="Arial" w:cs="Arial"/>
          <w:sz w:val="24"/>
          <w:szCs w:val="24"/>
        </w:rPr>
      </w:pPr>
    </w:p>
    <w:p w:rsidR="00DE6010" w:rsidRPr="00E24721" w:rsidRDefault="00DE6010" w:rsidP="004B7AEE">
      <w:pPr>
        <w:jc w:val="both"/>
        <w:rPr>
          <w:rFonts w:ascii="Arial" w:hAnsi="Arial" w:cs="Arial"/>
          <w:sz w:val="24"/>
          <w:szCs w:val="24"/>
        </w:rPr>
      </w:pPr>
    </w:p>
    <w:p w:rsidR="00280F63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80F63" w:rsidRPr="004B7AEE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E6010" w:rsidRPr="004B7AEE" w:rsidRDefault="00DE6010" w:rsidP="004B7AE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A181F"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 w:rsidR="00CA181F">
              <w:rPr>
                <w:rFonts w:ascii="Arial" w:hAnsi="Arial" w:cs="Arial"/>
                <w:sz w:val="24"/>
                <w:szCs w:val="24"/>
              </w:rPr>
              <w:t>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DE6010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10" w:rsidRPr="00E24721" w:rsidRDefault="00DE6010" w:rsidP="00DE6010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0" w:rsidRPr="006C2E80" w:rsidRDefault="00DE6010" w:rsidP="00DE6010">
            <w:r w:rsidRPr="006C2E80">
              <w:t>6820,00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0" w:rsidRPr="006C2E80" w:rsidRDefault="00DE6010" w:rsidP="00DE6010">
            <w:r w:rsidRPr="006C2E80">
              <w:t>0,40</w:t>
            </w:r>
          </w:p>
        </w:tc>
      </w:tr>
      <w:tr w:rsidR="00DE6010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10" w:rsidRPr="00E24721" w:rsidRDefault="00DE6010" w:rsidP="00DE60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0" w:rsidRPr="006C2E80" w:rsidRDefault="00DE6010" w:rsidP="00DE6010">
            <w:r w:rsidRPr="006C2E80">
              <w:t>6400,00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10" w:rsidRDefault="00DE6010" w:rsidP="00DE6010">
            <w:r w:rsidRPr="006C2E80">
              <w:t>0,30</w:t>
            </w:r>
          </w:p>
        </w:tc>
      </w:tr>
    </w:tbl>
    <w:p w:rsidR="00DE6010" w:rsidRDefault="00F74304" w:rsidP="006C189A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1.3. Приложение 2 к </w:t>
      </w:r>
      <w:proofErr w:type="gramStart"/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CA181F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A181F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0777E2" w:rsidRPr="000777E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4721"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 w:rsidRPr="00E24721">
        <w:rPr>
          <w:rFonts w:ascii="Arial" w:hAnsi="Arial" w:cs="Arial"/>
          <w:sz w:val="24"/>
          <w:szCs w:val="24"/>
        </w:rPr>
        <w:t xml:space="preserve">определяет порядок и условия выплаты муниципальным </w:t>
      </w:r>
      <w:proofErr w:type="gramStart"/>
      <w:r w:rsidRPr="00E24721">
        <w:rPr>
          <w:rFonts w:ascii="Arial" w:hAnsi="Arial" w:cs="Arial"/>
          <w:sz w:val="24"/>
          <w:szCs w:val="24"/>
        </w:rPr>
        <w:t>служащим  премии</w:t>
      </w:r>
      <w:proofErr w:type="gramEnd"/>
      <w:r w:rsidRPr="00E24721">
        <w:rPr>
          <w:rFonts w:ascii="Arial" w:hAnsi="Arial" w:cs="Arial"/>
          <w:sz w:val="24"/>
          <w:szCs w:val="24"/>
        </w:rPr>
        <w:t xml:space="preserve">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</w:t>
      </w:r>
      <w:proofErr w:type="gramStart"/>
      <w:r w:rsidRPr="00E24721">
        <w:rPr>
          <w:rFonts w:ascii="Arial" w:hAnsi="Arial" w:cs="Arial"/>
          <w:spacing w:val="4"/>
          <w:sz w:val="24"/>
          <w:szCs w:val="24"/>
        </w:rPr>
        <w:t xml:space="preserve">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Теребужского</w:t>
      </w:r>
      <w:proofErr w:type="spellEnd"/>
      <w:proofErr w:type="gram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proofErr w:type="spellStart"/>
      <w:r w:rsidR="00DE6010">
        <w:rPr>
          <w:rFonts w:ascii="Arial" w:hAnsi="Arial" w:cs="Arial"/>
          <w:spacing w:val="1"/>
          <w:sz w:val="24"/>
          <w:szCs w:val="24"/>
        </w:rPr>
        <w:t>Теребужского</w:t>
      </w:r>
      <w:proofErr w:type="spellEnd"/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proofErr w:type="spellStart"/>
      <w:r w:rsidR="00DE6010">
        <w:rPr>
          <w:rFonts w:ascii="Arial" w:hAnsi="Arial" w:cs="Arial"/>
          <w:spacing w:val="-1"/>
          <w:sz w:val="24"/>
          <w:szCs w:val="24"/>
        </w:rPr>
        <w:t>Теребужского</w:t>
      </w:r>
      <w:proofErr w:type="spellEnd"/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B01954">
        <w:rPr>
          <w:rFonts w:ascii="Arial" w:hAnsi="Arial" w:cs="Arial"/>
          <w:spacing w:val="3"/>
          <w:sz w:val="24"/>
          <w:szCs w:val="24"/>
        </w:rPr>
        <w:t>Ходатайства  о</w:t>
      </w:r>
      <w:proofErr w:type="gramEnd"/>
      <w:r w:rsidRPr="00B01954">
        <w:rPr>
          <w:rFonts w:ascii="Arial" w:hAnsi="Arial" w:cs="Arial"/>
          <w:spacing w:val="3"/>
          <w:sz w:val="24"/>
          <w:szCs w:val="24"/>
        </w:rPr>
        <w:t xml:space="preserve">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proofErr w:type="spellStart"/>
      <w:r w:rsidR="00DE6010">
        <w:rPr>
          <w:rFonts w:ascii="Arial" w:hAnsi="Arial" w:cs="Arial"/>
          <w:spacing w:val="10"/>
          <w:sz w:val="24"/>
          <w:szCs w:val="24"/>
        </w:rPr>
        <w:t>Теребужского</w:t>
      </w:r>
      <w:proofErr w:type="spellEnd"/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proofErr w:type="spellStart"/>
      <w:r w:rsidR="00DE6010">
        <w:rPr>
          <w:rFonts w:ascii="Arial" w:hAnsi="Arial" w:cs="Arial"/>
          <w:spacing w:val="8"/>
          <w:sz w:val="24"/>
          <w:szCs w:val="24"/>
        </w:rPr>
        <w:t>Теребужского</w:t>
      </w:r>
      <w:proofErr w:type="spellEnd"/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</w:t>
      </w:r>
      <w:proofErr w:type="gramStart"/>
      <w:r w:rsidRPr="00E24721">
        <w:rPr>
          <w:sz w:val="24"/>
          <w:szCs w:val="24"/>
        </w:rPr>
        <w:t xml:space="preserve">главы  </w:t>
      </w:r>
      <w:proofErr w:type="spellStart"/>
      <w:r w:rsidR="00DE6010">
        <w:rPr>
          <w:sz w:val="24"/>
          <w:szCs w:val="24"/>
        </w:rPr>
        <w:t>Теребужского</w:t>
      </w:r>
      <w:proofErr w:type="spellEnd"/>
      <w:proofErr w:type="gramEnd"/>
      <w:r w:rsidRPr="00E24721">
        <w:rPr>
          <w:sz w:val="24"/>
          <w:szCs w:val="24"/>
        </w:rPr>
        <w:t xml:space="preserve"> сельсовета </w:t>
      </w:r>
      <w:proofErr w:type="spellStart"/>
      <w:r w:rsidRPr="00E24721">
        <w:rPr>
          <w:sz w:val="24"/>
          <w:szCs w:val="24"/>
        </w:rPr>
        <w:t>Щигровского</w:t>
      </w:r>
      <w:proofErr w:type="spellEnd"/>
      <w:r w:rsidRPr="00E24721"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соблюдение служебной дисциплины, правил внутреннего трудового </w:t>
      </w:r>
      <w:r w:rsidRPr="00E24721">
        <w:rPr>
          <w:sz w:val="24"/>
          <w:szCs w:val="24"/>
        </w:rPr>
        <w:lastRenderedPageBreak/>
        <w:t>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N п/п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Отсутствие контроля за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lastRenderedPageBreak/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Муниципальные служащие, которым снижен размер ежемесячной премии по итогам работы, должны быть ознакомлены с правовым актом о размере 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ПредседательСобрания</w:t>
      </w:r>
      <w:proofErr w:type="spellEnd"/>
      <w:r>
        <w:rPr>
          <w:rFonts w:ascii="Arial" w:hAnsi="Arial" w:cs="Arial"/>
          <w:sz w:val="24"/>
          <w:szCs w:val="24"/>
        </w:rPr>
        <w:t xml:space="preserve"> депутатов </w:t>
      </w:r>
    </w:p>
    <w:p w:rsidR="00714DC9" w:rsidRDefault="00DE6010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14DC9">
        <w:rPr>
          <w:rFonts w:ascii="Arial" w:hAnsi="Arial" w:cs="Arial"/>
          <w:sz w:val="24"/>
          <w:szCs w:val="24"/>
        </w:rPr>
        <w:t xml:space="preserve"> сельсовета</w:t>
      </w:r>
      <w:r w:rsidR="00714DC9">
        <w:rPr>
          <w:rFonts w:ascii="Arial" w:hAnsi="Arial" w:cs="Arial"/>
          <w:sz w:val="24"/>
          <w:szCs w:val="24"/>
        </w:rPr>
        <w:tab/>
        <w:t xml:space="preserve">                </w:t>
      </w:r>
      <w:r w:rsidR="009E6B11">
        <w:rPr>
          <w:rFonts w:ascii="Arial" w:hAnsi="Arial" w:cs="Arial"/>
          <w:sz w:val="24"/>
          <w:szCs w:val="24"/>
        </w:rPr>
        <w:t xml:space="preserve">                         Т.С. </w:t>
      </w:r>
      <w:proofErr w:type="spellStart"/>
      <w:r w:rsidR="009E6B11"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E6010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</w:t>
      </w:r>
      <w:r w:rsidR="009E6B11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9E6B11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9E6B11">
      <w:bookmarkStart w:id="0" w:name="_GoBack"/>
      <w:bookmarkEnd w:id="0"/>
    </w:p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C9"/>
    <w:rsid w:val="000777E2"/>
    <w:rsid w:val="00187F0C"/>
    <w:rsid w:val="00280F63"/>
    <w:rsid w:val="003A450F"/>
    <w:rsid w:val="003E4C16"/>
    <w:rsid w:val="004171C2"/>
    <w:rsid w:val="00422C4A"/>
    <w:rsid w:val="004B7AEE"/>
    <w:rsid w:val="005132F0"/>
    <w:rsid w:val="00642A62"/>
    <w:rsid w:val="006C189A"/>
    <w:rsid w:val="00714DC9"/>
    <w:rsid w:val="007957C5"/>
    <w:rsid w:val="007D7E23"/>
    <w:rsid w:val="00811E57"/>
    <w:rsid w:val="008763CE"/>
    <w:rsid w:val="00906E9B"/>
    <w:rsid w:val="0095701E"/>
    <w:rsid w:val="009E6B11"/>
    <w:rsid w:val="00A039F7"/>
    <w:rsid w:val="00B01954"/>
    <w:rsid w:val="00BA4131"/>
    <w:rsid w:val="00BB3ABF"/>
    <w:rsid w:val="00BD2851"/>
    <w:rsid w:val="00BF2F10"/>
    <w:rsid w:val="00CA181F"/>
    <w:rsid w:val="00D46151"/>
    <w:rsid w:val="00DE6010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D52C"/>
  <w15:docId w15:val="{84DC0276-728F-4FDD-A33A-1313A69B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E6B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2025-05-26T12:59:00Z</cp:lastPrinted>
  <dcterms:created xsi:type="dcterms:W3CDTF">2025-05-26T13:00:00Z</dcterms:created>
  <dcterms:modified xsi:type="dcterms:W3CDTF">2025-05-26T13:00:00Z</dcterms:modified>
</cp:coreProperties>
</file>