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17" w:rsidRDefault="00E30B17" w:rsidP="00E30B1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30B17" w:rsidRDefault="00E30B17" w:rsidP="00E30B1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 СЕЛЬСОВЕТА</w:t>
      </w:r>
    </w:p>
    <w:p w:rsidR="00E30B17" w:rsidRDefault="00E30B17" w:rsidP="00E30B1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30B17" w:rsidRDefault="00E30B17" w:rsidP="00E30B1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30B17" w:rsidRDefault="00E30B17" w:rsidP="00E30B1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30B17" w:rsidRDefault="00E30B17" w:rsidP="00E30B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« 27  » ноября 2020 года №     17-4-6</w:t>
      </w:r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>
        <w:rPr>
          <w:rFonts w:ascii="Arial" w:hAnsi="Arial" w:cs="Arial"/>
          <w:b/>
          <w:bCs/>
          <w:sz w:val="32"/>
          <w:szCs w:val="32"/>
        </w:rPr>
        <w:t>осуществление Контрольн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о-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ревизионной комиссией</w:t>
      </w:r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район»</w:t>
      </w:r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полномочий ревизионной комиссии поселения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по</w:t>
      </w:r>
      <w:proofErr w:type="gramEnd"/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внешнему финансовому контролю</w:t>
      </w: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Теребужского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РЕШИЛО:</w:t>
      </w: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</w:rPr>
      </w:pP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1.Передать </w:t>
      </w:r>
      <w:proofErr w:type="spellStart"/>
      <w:r>
        <w:rPr>
          <w:rFonts w:ascii="Arial" w:hAnsi="Arial" w:cs="Arial"/>
          <w:bCs/>
          <w:sz w:val="24"/>
          <w:szCs w:val="24"/>
        </w:rPr>
        <w:t>контрольно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ревизионной комиссии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полномочий по осуществлению внешнего финансового контроля с 01 января 2021 года по 31 декабря 2023 года.</w:t>
      </w: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2.Согласиться с прилагаемым Порядком расчета межбюджетных трансфертов на осуществление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К</w:t>
      </w:r>
      <w:proofErr w:type="gramEnd"/>
      <w:r>
        <w:rPr>
          <w:rFonts w:ascii="Arial" w:hAnsi="Arial" w:cs="Arial"/>
          <w:bCs/>
          <w:sz w:val="24"/>
          <w:szCs w:val="24"/>
        </w:rPr>
        <w:t>онтрольно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ревизионной комиссией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полномочий контрольно-счетных органов поселений по внешнему финансовому контролю.</w:t>
      </w: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3.Утвердить Порядок представления иных межбюджетных трансфертов из бюджета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в бюджет муниципального района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Курской области на осуществление полномочий внешнего финансового контроля согласно приложению.</w:t>
      </w: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4.Поручить Председателю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Козявкиной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Т.С. подписать Соглашение с представительным органом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 xml:space="preserve">о передаче контрольно-счетному органу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полномочий  по осуществлению внешнего муниципального  финансового контроля.</w:t>
      </w: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5.Настоящее решение вступает в силу после официального обнародования.</w:t>
      </w: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Теребужского</w:t>
      </w:r>
      <w:proofErr w:type="spellEnd"/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Т.С.Козявкин</w:t>
      </w:r>
      <w:proofErr w:type="spellEnd"/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E30B17" w:rsidRDefault="00E30B17" w:rsidP="00E30B17">
      <w:pPr>
        <w:pStyle w:val="Standard"/>
        <w:widowControl w:val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E30B17" w:rsidRDefault="00E30B17" w:rsidP="00E30B17">
      <w:pPr>
        <w:pStyle w:val="Standard"/>
        <w:widowControl w:val="0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Л.Н.Степаненко</w:t>
      </w:r>
      <w:proofErr w:type="spellEnd"/>
    </w:p>
    <w:p w:rsidR="00E30B17" w:rsidRDefault="00E30B17" w:rsidP="00E30B17">
      <w:pPr>
        <w:pStyle w:val="Standard"/>
        <w:jc w:val="right"/>
        <w:rPr>
          <w:rFonts w:ascii="Arial" w:hAnsi="Arial" w:cs="Arial"/>
        </w:rPr>
      </w:pPr>
    </w:p>
    <w:p w:rsidR="00E30B17" w:rsidRDefault="00E30B17" w:rsidP="00E30B1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30B17" w:rsidRDefault="00E30B17" w:rsidP="00E30B1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</w:p>
    <w:p w:rsidR="00E30B17" w:rsidRDefault="00E30B17" w:rsidP="00E30B1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 муниципального</w:t>
      </w:r>
    </w:p>
    <w:p w:rsidR="00E30B17" w:rsidRDefault="00E30B17" w:rsidP="00E30B1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</w:t>
      </w:r>
      <w:proofErr w:type="spellStart"/>
      <w:r>
        <w:rPr>
          <w:rFonts w:ascii="Arial" w:hAnsi="Arial" w:cs="Arial"/>
          <w:sz w:val="24"/>
          <w:szCs w:val="24"/>
        </w:rPr>
        <w:t>Теребужский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E30B17" w:rsidRDefault="00E30B17" w:rsidP="00E30B17">
      <w:pPr>
        <w:pStyle w:val="Standard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30B17" w:rsidRDefault="00E30B17" w:rsidP="00E30B1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«27» 11.2020г. № 17-4-6</w:t>
      </w:r>
    </w:p>
    <w:p w:rsidR="00E30B17" w:rsidRDefault="00E30B17" w:rsidP="00E30B17">
      <w:pPr>
        <w:pStyle w:val="Standard"/>
        <w:jc w:val="right"/>
        <w:rPr>
          <w:rFonts w:ascii="Arial" w:hAnsi="Arial" w:cs="Arial"/>
        </w:rPr>
      </w:pPr>
    </w:p>
    <w:p w:rsidR="00E30B17" w:rsidRDefault="00E30B17" w:rsidP="00E30B17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Порядок</w:t>
      </w:r>
    </w:p>
    <w:p w:rsidR="00E30B17" w:rsidRDefault="00E30B17" w:rsidP="00E30B1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Представления иных межбюджетных трансфертов из бюджета муниципального образования «</w:t>
      </w:r>
      <w:proofErr w:type="spellStart"/>
      <w:r>
        <w:rPr>
          <w:rFonts w:ascii="Arial" w:hAnsi="Arial" w:cs="Arial"/>
          <w:b/>
          <w:sz w:val="28"/>
          <w:szCs w:val="28"/>
        </w:rPr>
        <w:t>Теребужский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:rsidR="00E30B17" w:rsidRDefault="00E30B17" w:rsidP="00E30B17">
      <w:pPr>
        <w:pStyle w:val="Standard"/>
        <w:jc w:val="center"/>
        <w:rPr>
          <w:rFonts w:ascii="Arial" w:hAnsi="Arial" w:cs="Arial"/>
        </w:rPr>
      </w:pPr>
    </w:p>
    <w:p w:rsidR="00E30B17" w:rsidRDefault="00E30B17" w:rsidP="00E30B17">
      <w:pPr>
        <w:pStyle w:val="Standard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Настоящий Порядок представления иных межбюджетных трансфертов из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Теребужский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бюджет муниципального района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E30B17" w:rsidRDefault="00E30B17" w:rsidP="00E30B17">
      <w:pPr>
        <w:pStyle w:val="Standard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 Размер иных межбюджетных трансфертов определяется в соответствии с Порядком расчета межбюджетных трансфертов на осуществлении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К</w:t>
      </w:r>
      <w:proofErr w:type="gramEnd"/>
      <w:r>
        <w:rPr>
          <w:rFonts w:ascii="Arial" w:hAnsi="Arial" w:cs="Arial"/>
          <w:bCs/>
          <w:sz w:val="24"/>
          <w:szCs w:val="24"/>
        </w:rPr>
        <w:t>онтрольно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ревизионной комиссией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полномочий контрольно-счетных органов поселений по внешнему финансовому контролю.</w:t>
      </w:r>
    </w:p>
    <w:p w:rsidR="00E30B17" w:rsidRDefault="00E30B17" w:rsidP="00E30B17">
      <w:pPr>
        <w:pStyle w:val="Standard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3. 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:rsidR="00E30B17" w:rsidRDefault="00E30B17" w:rsidP="00E30B17">
      <w:pPr>
        <w:pStyle w:val="Standard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4. 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E30B17" w:rsidRDefault="00E30B17" w:rsidP="00E30B17">
      <w:pPr>
        <w:pStyle w:val="Standard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5.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E30B17" w:rsidRDefault="00E30B17" w:rsidP="00E30B17">
      <w:pPr>
        <w:pStyle w:val="Standard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6. 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E30B17" w:rsidRDefault="00E30B17" w:rsidP="00E30B17">
      <w:pPr>
        <w:pStyle w:val="Standard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Остаток иных межбюджетных трансфертов подлежит возврату в бюджет поселения.</w:t>
      </w:r>
    </w:p>
    <w:p w:rsidR="00E30B17" w:rsidRDefault="00E30B17" w:rsidP="00E30B17">
      <w:pPr>
        <w:pStyle w:val="Standard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Объем межбюджетных трансфертов на 2021-2023 годы определяется Соглашением по передачи полномочий по осуществлению внешнего финансового контроля.</w:t>
      </w:r>
    </w:p>
    <w:p w:rsidR="00E30B17" w:rsidRDefault="00E30B17" w:rsidP="00E30B17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E30B17" w:rsidRDefault="00E30B17" w:rsidP="00E30B17">
      <w:pPr>
        <w:pStyle w:val="Standard"/>
        <w:widowControl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E30B17" w:rsidRPr="00E30B17" w:rsidRDefault="00E30B17" w:rsidP="00E30B17">
      <w:pPr>
        <w:pStyle w:val="Standard"/>
        <w:widowControl w:val="0"/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  <w:r w:rsidRPr="00E30B17">
        <w:rPr>
          <w:rFonts w:ascii="Arial" w:hAnsi="Arial" w:cs="Arial"/>
          <w:b/>
          <w:bCs/>
          <w:sz w:val="30"/>
          <w:szCs w:val="30"/>
        </w:rPr>
        <w:lastRenderedPageBreak/>
        <w:t>ПОРЯДОК</w:t>
      </w:r>
    </w:p>
    <w:p w:rsidR="00E30B17" w:rsidRPr="00E30B17" w:rsidRDefault="00E30B17" w:rsidP="00E30B17">
      <w:pPr>
        <w:pStyle w:val="Standard"/>
        <w:widowControl w:val="0"/>
        <w:jc w:val="center"/>
        <w:rPr>
          <w:rFonts w:ascii="Arial" w:hAnsi="Arial" w:cs="Arial"/>
          <w:sz w:val="30"/>
          <w:szCs w:val="30"/>
        </w:rPr>
      </w:pPr>
      <w:r w:rsidRPr="00E30B17">
        <w:rPr>
          <w:rFonts w:ascii="Arial" w:hAnsi="Arial" w:cs="Arial"/>
          <w:b/>
          <w:bCs/>
          <w:sz w:val="30"/>
          <w:szCs w:val="30"/>
        </w:rPr>
        <w:t>расчета межбюджетных трансфертов на осуществление</w:t>
      </w:r>
    </w:p>
    <w:p w:rsidR="00E30B17" w:rsidRPr="00E30B17" w:rsidRDefault="00E30B17" w:rsidP="00E30B17">
      <w:pPr>
        <w:pStyle w:val="Standard"/>
        <w:widowControl w:val="0"/>
        <w:jc w:val="center"/>
        <w:rPr>
          <w:rFonts w:ascii="Arial" w:hAnsi="Arial" w:cs="Arial"/>
          <w:sz w:val="30"/>
          <w:szCs w:val="30"/>
        </w:rPr>
      </w:pPr>
      <w:r w:rsidRPr="00E30B17">
        <w:rPr>
          <w:rFonts w:ascii="Arial" w:hAnsi="Arial" w:cs="Arial"/>
          <w:b/>
          <w:bCs/>
          <w:sz w:val="30"/>
          <w:szCs w:val="30"/>
        </w:rPr>
        <w:t>Контрольно-ревизионной комиссии муниципального образования «</w:t>
      </w:r>
      <w:proofErr w:type="spellStart"/>
      <w:r w:rsidRPr="00E30B17">
        <w:rPr>
          <w:rFonts w:ascii="Arial" w:hAnsi="Arial" w:cs="Arial"/>
          <w:b/>
          <w:bCs/>
          <w:sz w:val="30"/>
          <w:szCs w:val="30"/>
        </w:rPr>
        <w:t>Щигровский</w:t>
      </w:r>
      <w:proofErr w:type="spellEnd"/>
      <w:r w:rsidRPr="00E30B17">
        <w:rPr>
          <w:rFonts w:ascii="Arial" w:hAnsi="Arial" w:cs="Arial"/>
          <w:b/>
          <w:bCs/>
          <w:sz w:val="30"/>
          <w:szCs w:val="30"/>
        </w:rPr>
        <w:t xml:space="preserve"> район» полномочий  контрольно-счетных органов поселений по внешнему финансовому контролю.</w:t>
      </w:r>
    </w:p>
    <w:p w:rsidR="00E30B17" w:rsidRDefault="00E30B17" w:rsidP="00E30B17">
      <w:pPr>
        <w:pStyle w:val="Standard"/>
        <w:widowControl w:val="0"/>
        <w:rPr>
          <w:rFonts w:ascii="Arial" w:hAnsi="Arial" w:cs="Arial"/>
          <w:sz w:val="24"/>
          <w:szCs w:val="24"/>
        </w:rPr>
      </w:pP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bCs/>
          <w:sz w:val="24"/>
          <w:szCs w:val="24"/>
        </w:rPr>
        <w:t>В целях настоящего  Порядка  и в соответствии с постановлением Администрации Курской области от 22.10.2012г. №917-па «Об утверждении на 2013 год нормативов формирования расходов на содержание органов местного самоуправления муниципальных образований Курской области» дополнительная численность работников контрольно-счетных органов для муниципальных районов учтена в количестве 1 единиц, для каждого поселения – в количестве 1 единицы.</w:t>
      </w:r>
      <w:proofErr w:type="gramEnd"/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2. Общий размер межбюджетного трансферта определяется по формуле: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ОРТ= </w:t>
      </w:r>
      <w:proofErr w:type="spellStart"/>
      <w:r>
        <w:rPr>
          <w:rFonts w:ascii="Arial" w:hAnsi="Arial" w:cs="Arial"/>
          <w:bCs/>
          <w:sz w:val="24"/>
          <w:szCs w:val="24"/>
        </w:rPr>
        <w:t>Дч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Х Норм, где: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ОР</w:t>
      </w:r>
      <w:proofErr w:type="gramStart"/>
      <w:r>
        <w:rPr>
          <w:rFonts w:ascii="Arial" w:hAnsi="Arial" w:cs="Arial"/>
          <w:bCs/>
          <w:sz w:val="24"/>
          <w:szCs w:val="24"/>
        </w:rPr>
        <w:t>Т–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общий размер трансферта;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Дч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дополнительная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Норм –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В указанный норматив включаются: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1) заработная плата сотрудника контрольно-счетного органа со всеми   надбавками, по должностям, предусмотренным  Законом Курской области 13.06.2007г. №60-ЗКО «О муниципальной службе в Курской области» и Решением Представительного Собрания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от 29.01.2013г. №212-2-ПС;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2) почтовые, транспортные, командировочные, канцелярские и другие расходы;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3) расходы на повышение квалификации сотрудников контрольно-счетных органов, финансируемых за счет указанных межбюджетных трансфертов, осуществляемой не реже 1 раза в три года;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4) расходы на телефон,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межбюджетный трансфертов, в помещениях, занимаемых контрольно-счетным органом Представительного Собрания муниципального района;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5) расходы на приобретение основных средств (компьютерной и копировальной техники), обучающей литературы.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Указанный норматив рассчитывается органами местного самоуправления и ежегодно, при составлении бюджета, индексируется на уровень инфляции рекомендуемый Минэкономразвития России.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3. Размер межбюджетного трансферта, передаваемый поселением в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E30B17" w:rsidRDefault="00E30B17" w:rsidP="00E30B17">
      <w:pPr>
        <w:pStyle w:val="Standard"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ab/>
        <w:t>ТР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= ОРТ/Ч где: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ТР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размер межбюджетного </w:t>
      </w:r>
      <w:proofErr w:type="gramStart"/>
      <w:r>
        <w:rPr>
          <w:rFonts w:ascii="Arial" w:hAnsi="Arial" w:cs="Arial"/>
          <w:bCs/>
          <w:sz w:val="24"/>
          <w:szCs w:val="24"/>
        </w:rPr>
        <w:t>трансферта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передаваемый поселением в представительный орган (контрольно-счетный орган) муниципального района на исполнение переданных полномочий;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Cs/>
          <w:sz w:val="24"/>
          <w:szCs w:val="24"/>
        </w:rPr>
        <w:t>соответствующее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поселение;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lastRenderedPageBreak/>
        <w:t>Ч – количество поселений, передающих муниципальному району полномочия по осуществлению внешнего финансового контроля.</w:t>
      </w:r>
    </w:p>
    <w:p w:rsidR="00E30B17" w:rsidRDefault="00E30B17" w:rsidP="00E30B17">
      <w:pPr>
        <w:pStyle w:val="Standard"/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21.12.2011г. №180-н «Об утверждении Указаний о порядке применения бюджетной классификации Российской Федерации» по соответствующим видам расходов.</w:t>
      </w:r>
    </w:p>
    <w:p w:rsidR="00727899" w:rsidRDefault="00727899"/>
    <w:sectPr w:rsidR="0072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17"/>
    <w:rsid w:val="00727899"/>
    <w:rsid w:val="00E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0B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List Paragraph"/>
    <w:basedOn w:val="Standard"/>
    <w:qFormat/>
    <w:rsid w:val="00E30B17"/>
    <w:pPr>
      <w:overflowPunct w:val="0"/>
      <w:ind w:left="720"/>
    </w:pPr>
    <w:rPr>
      <w:sz w:val="24"/>
      <w:szCs w:val="24"/>
    </w:rPr>
  </w:style>
  <w:style w:type="paragraph" w:styleId="a4">
    <w:name w:val="List"/>
    <w:basedOn w:val="Standard"/>
    <w:semiHidden/>
    <w:unhideWhenUsed/>
    <w:rsid w:val="00E30B17"/>
    <w:pPr>
      <w:overflowPunct w:val="0"/>
      <w:ind w:left="283" w:hanging="283"/>
    </w:pPr>
    <w:rPr>
      <w:rFonts w:cs="Mang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0B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List Paragraph"/>
    <w:basedOn w:val="Standard"/>
    <w:qFormat/>
    <w:rsid w:val="00E30B17"/>
    <w:pPr>
      <w:overflowPunct w:val="0"/>
      <w:ind w:left="720"/>
    </w:pPr>
    <w:rPr>
      <w:sz w:val="24"/>
      <w:szCs w:val="24"/>
    </w:rPr>
  </w:style>
  <w:style w:type="paragraph" w:styleId="a4">
    <w:name w:val="List"/>
    <w:basedOn w:val="Standard"/>
    <w:semiHidden/>
    <w:unhideWhenUsed/>
    <w:rsid w:val="00E30B17"/>
    <w:pPr>
      <w:overflowPunct w:val="0"/>
      <w:ind w:left="283" w:hanging="283"/>
    </w:pPr>
    <w:rPr>
      <w:rFonts w:cs="Mang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0bC5Lzaw1cJHWOJyMMnaNg4+O4jsO36RG44QfAjdiLM=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fthJwOFQSR33TulDkicGvRAhqEPj8i0opZbvzAA8WZ0=</DigestValue>
    </Reference>
  </SignedInfo>
  <SignatureValue>Sgt/eeliZzSi6MUGXBtaWD6542H6ArO0kpvnG22esEDHo8ThTnWkSZHyIjQ6CIeI
HqO4qOV6XYBt7Ljxbs5USg==</SignatureValue>
  <KeyInfo>
    <X509Data>
      <X509Certificate>MIIJVTCCCQKgAwIBAgIRANe1QmceADOs6hFIektms2UwCgYIKoUDBwEBAwIwggF3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niAi0K3Qm9CV0JrQotCg0J7QndCd0KvQmSDQk9Ce0KDQntCUICsiMB4XDTIwMDQw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vtGB0YHQuNC4ggo3TdRyAAAAAADGMEoGA1UdJQRDMEEGCCsGAQUFBwMCBggrBgEF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PN2OBwMmx5akSBfHDJRyDgf1kj4=</DigestValue>
      </Reference>
      <Reference URI="/word/fontTable.xml?ContentType=application/vnd.openxmlformats-officedocument.wordprocessingml.fontTable+xml">
        <DigestMethod Algorithm="http://www.w3.org/2000/09/xmldsig#sha1"/>
        <DigestValue>VNp/ffk2eaJNm119paPVxd1A42E=</DigestValue>
      </Reference>
      <Reference URI="/word/settings.xml?ContentType=application/vnd.openxmlformats-officedocument.wordprocessingml.settings+xml">
        <DigestMethod Algorithm="http://www.w3.org/2000/09/xmldsig#sha1"/>
        <DigestValue>exWveIIFYxJDe5nWjn73YHfbOJo=</DigestValue>
      </Reference>
      <Reference URI="/word/styles.xml?ContentType=application/vnd.openxmlformats-officedocument.wordprocessingml.styles+xml">
        <DigestMethod Algorithm="http://www.w3.org/2000/09/xmldsig#sha1"/>
        <DigestValue>cTnz78u/FeccClyyXwgpghmsMM4=</DigestValue>
      </Reference>
      <Reference URI="/word/stylesWithEffects.xml?ContentType=application/vnd.ms-word.stylesWithEffects+xml">
        <DigestMethod Algorithm="http://www.w3.org/2000/09/xmldsig#sha1"/>
        <DigestValue>sWvu8Ga3wI/fFGFvXoJYziH+GU0=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8iJ6D9iKkF1U+xKyYnI1nYzSXS0=</DigestValue>
      </Reference>
    </Manifest>
    <SignatureProperties>
      <SignatureProperty Id="idSignatureTime" Target="#idPackageSignature">
        <mdssi:SignatureTime>
          <mdssi:Format>YYYY-MM-DDThh:mm:ssTZD</mdssi:Format>
          <mdssi:Value>2020-12-03T13:17:22Z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2020-12-03T13:17:22Z</xd:SigningTime>
          <xd:SigningCertificate>
            <xd:Cert>
              <xd:CertDigest>
                <DigestMethod Algorithm="http://www.w3.org/2000/09/xmldsig#sha1"/>
                <DigestValue>pp1wmquo6Ncf1GTfB9ySUAumc70=</DigestValue>
              </xd:CertDigest>
              <xd:IssuerSerial>
                <X509IssuerName>CN="ООО ""ЭЛЕКТРОННЫЙ ГОРОД +""", O="ООО ""ЭЛЕКТРОННЫЙ ГОРОД +""", OU=Удостоверяющий центр, STREET=ул. Можаевская д. 2А, L=г. Курск, S=46 Курская область, C=RU, INN=004634008800, OGRN=1064613002618, E=elgorod@elkursk.ru</X509IssuerName>
                <X509SerialNumber>286725171633971090779594591310734340965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1177</Words>
  <Characters>6711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2020-12-03T12:39:00Z</dcterms:created>
  <dcterms:modified xsi:type="dcterms:W3CDTF">2020-12-03T12:43:00Z</dcterms:modified>
</cp:coreProperties>
</file>