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8E" w:rsidRPr="005F2D3F" w:rsidRDefault="002B328E" w:rsidP="002B328E">
      <w:pPr>
        <w:jc w:val="center"/>
        <w:rPr>
          <w:rFonts w:ascii="Arial" w:hAnsi="Arial" w:cs="Arial"/>
        </w:rPr>
      </w:pPr>
    </w:p>
    <w:p w:rsidR="002B328E" w:rsidRPr="005F2D3F" w:rsidRDefault="002B328E" w:rsidP="005F2D3F">
      <w:pPr>
        <w:jc w:val="center"/>
        <w:rPr>
          <w:rFonts w:ascii="Arial" w:hAnsi="Arial" w:cs="Arial"/>
          <w:b/>
          <w:sz w:val="32"/>
          <w:szCs w:val="32"/>
        </w:rPr>
      </w:pPr>
      <w:r w:rsidRPr="005F2D3F">
        <w:rPr>
          <w:rFonts w:ascii="Arial" w:hAnsi="Arial" w:cs="Arial"/>
          <w:b/>
          <w:sz w:val="32"/>
          <w:szCs w:val="32"/>
        </w:rPr>
        <w:t>АДМИНИСТРАЦИЯ</w:t>
      </w:r>
    </w:p>
    <w:p w:rsidR="002B328E" w:rsidRPr="005F2D3F" w:rsidRDefault="00603152" w:rsidP="005F2D3F">
      <w:pPr>
        <w:jc w:val="center"/>
        <w:rPr>
          <w:rFonts w:ascii="Arial" w:hAnsi="Arial" w:cs="Arial"/>
          <w:b/>
          <w:sz w:val="32"/>
          <w:szCs w:val="32"/>
        </w:rPr>
      </w:pPr>
      <w:r w:rsidRPr="005F2D3F">
        <w:rPr>
          <w:rFonts w:ascii="Arial" w:hAnsi="Arial" w:cs="Arial"/>
          <w:b/>
          <w:sz w:val="32"/>
          <w:szCs w:val="32"/>
        </w:rPr>
        <w:t>ТЕРЕБУЖСКОГО</w:t>
      </w:r>
      <w:r w:rsidR="002B328E" w:rsidRPr="005F2D3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328E" w:rsidRPr="005F2D3F" w:rsidRDefault="002B328E" w:rsidP="005F2D3F">
      <w:pPr>
        <w:jc w:val="center"/>
        <w:rPr>
          <w:rFonts w:ascii="Arial" w:hAnsi="Arial" w:cs="Arial"/>
          <w:b/>
          <w:sz w:val="32"/>
          <w:szCs w:val="32"/>
        </w:rPr>
      </w:pPr>
      <w:r w:rsidRPr="005F2D3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B328E" w:rsidRPr="005F2D3F" w:rsidRDefault="002B328E" w:rsidP="005F2D3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F2D3F">
        <w:rPr>
          <w:rFonts w:ascii="Arial" w:hAnsi="Arial" w:cs="Arial"/>
          <w:b/>
          <w:sz w:val="32"/>
          <w:szCs w:val="32"/>
        </w:rPr>
        <w:t>П</w:t>
      </w:r>
      <w:proofErr w:type="gramEnd"/>
      <w:r w:rsidRPr="005F2D3F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B328E" w:rsidRPr="005F2D3F" w:rsidRDefault="003939E2" w:rsidP="005F2D3F">
      <w:pPr>
        <w:jc w:val="center"/>
        <w:rPr>
          <w:rFonts w:ascii="Arial" w:hAnsi="Arial" w:cs="Arial"/>
          <w:b/>
          <w:sz w:val="32"/>
          <w:szCs w:val="32"/>
        </w:rPr>
      </w:pPr>
      <w:r w:rsidRPr="005F2D3F">
        <w:rPr>
          <w:rFonts w:ascii="Arial" w:hAnsi="Arial" w:cs="Arial"/>
          <w:b/>
          <w:sz w:val="32"/>
          <w:szCs w:val="32"/>
        </w:rPr>
        <w:t xml:space="preserve">От 22 июня </w:t>
      </w:r>
      <w:r w:rsidR="002B328E" w:rsidRPr="005F2D3F">
        <w:rPr>
          <w:rFonts w:ascii="Arial" w:hAnsi="Arial" w:cs="Arial"/>
          <w:b/>
          <w:sz w:val="32"/>
          <w:szCs w:val="32"/>
        </w:rPr>
        <w:t xml:space="preserve"> 2022 года</w:t>
      </w:r>
      <w:r w:rsidR="004F7AF6" w:rsidRPr="005F2D3F">
        <w:rPr>
          <w:rFonts w:ascii="Arial" w:hAnsi="Arial" w:cs="Arial"/>
          <w:b/>
          <w:sz w:val="32"/>
          <w:szCs w:val="32"/>
        </w:rPr>
        <w:t xml:space="preserve">        № 5</w:t>
      </w:r>
      <w:r w:rsidR="00603152" w:rsidRPr="005F2D3F">
        <w:rPr>
          <w:rFonts w:ascii="Arial" w:hAnsi="Arial" w:cs="Arial"/>
          <w:b/>
          <w:sz w:val="32"/>
          <w:szCs w:val="32"/>
        </w:rPr>
        <w:t>5</w:t>
      </w:r>
    </w:p>
    <w:p w:rsidR="002B328E" w:rsidRPr="005F2D3F" w:rsidRDefault="002B328E" w:rsidP="005F2D3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74747"/>
          <w:kern w:val="36"/>
          <w:sz w:val="32"/>
          <w:szCs w:val="32"/>
          <w:lang w:eastAsia="ru-RU"/>
        </w:rPr>
      </w:pPr>
    </w:p>
    <w:p w:rsidR="002B328E" w:rsidRPr="005F2D3F" w:rsidRDefault="002B328E" w:rsidP="005F2D3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74747"/>
          <w:kern w:val="36"/>
          <w:sz w:val="32"/>
          <w:szCs w:val="32"/>
          <w:lang w:eastAsia="ru-RU"/>
        </w:rPr>
      </w:pPr>
    </w:p>
    <w:p w:rsidR="00A50016" w:rsidRPr="005F2D3F" w:rsidRDefault="00A50016" w:rsidP="005F2D3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5F2D3F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 Порядке утверждения схемы размещения на землях или земельных участках, н</w:t>
      </w:r>
      <w:r w:rsidR="002B328E" w:rsidRPr="005F2D3F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аходящихся в </w:t>
      </w:r>
      <w:r w:rsidRPr="005F2D3F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2B328E" w:rsidRPr="005F2D3F" w:rsidRDefault="00A50016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color w:val="474747"/>
          <w:sz w:val="24"/>
          <w:szCs w:val="24"/>
          <w:lang w:eastAsia="ru-RU"/>
        </w:rPr>
        <w:br/>
      </w:r>
      <w:r w:rsidRPr="005F2D3F">
        <w:rPr>
          <w:rFonts w:ascii="Arial" w:eastAsia="Times New Roman" w:hAnsi="Arial" w:cs="Arial"/>
          <w:color w:val="474747"/>
          <w:sz w:val="24"/>
          <w:szCs w:val="24"/>
          <w:lang w:eastAsia="ru-RU"/>
        </w:rPr>
        <w:br/>
      </w:r>
      <w:r w:rsidR="002B328E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 статьи 39.36-1 Земельного кодекса Российской Федерации Администрация </w:t>
      </w:r>
      <w:proofErr w:type="spellStart"/>
      <w:r w:rsidR="00603152" w:rsidRPr="005F2D3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2B328E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2B328E" w:rsidRPr="005F2D3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2B328E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</w:t>
      </w:r>
    </w:p>
    <w:p w:rsidR="002B328E" w:rsidRPr="005F2D3F" w:rsidRDefault="00A50016" w:rsidP="002B328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B328E" w:rsidRPr="005F2D3F" w:rsidRDefault="002B328E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Утвердить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2B328E" w:rsidRPr="005F2D3F" w:rsidRDefault="002B328E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5F2D3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328E" w:rsidRPr="005F2D3F" w:rsidRDefault="002B328E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328E" w:rsidRPr="005F2D3F" w:rsidRDefault="00A50016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603152" w:rsidRPr="005F2D3F"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 w:rsidR="00603152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328E" w:rsidRPr="005F2D3F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03152" w:rsidRPr="005F2D3F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2B328E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03152" w:rsidRPr="005F2D3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2B328E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</w:t>
      </w:r>
      <w:r w:rsidR="00603152" w:rsidRPr="005F2D3F">
        <w:rPr>
          <w:rFonts w:ascii="Arial" w:eastAsia="Times New Roman" w:hAnsi="Arial" w:cs="Arial"/>
          <w:sz w:val="24"/>
          <w:szCs w:val="24"/>
          <w:lang w:eastAsia="ru-RU"/>
        </w:rPr>
        <w:t>Е.И.Зубкова</w:t>
      </w:r>
    </w:p>
    <w:p w:rsidR="002B328E" w:rsidRPr="005F2D3F" w:rsidRDefault="002B328E" w:rsidP="002B328E">
      <w:pPr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2B328E" w:rsidRPr="005F2D3F" w:rsidRDefault="002B328E" w:rsidP="002B328E">
      <w:pPr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2B328E" w:rsidRDefault="002B328E" w:rsidP="002B328E">
      <w:pPr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5F2D3F" w:rsidRPr="005F2D3F" w:rsidRDefault="005F2D3F" w:rsidP="002B328E">
      <w:pPr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2B328E" w:rsidRPr="005F2D3F" w:rsidRDefault="00A50016" w:rsidP="002B328E">
      <w:pPr>
        <w:jc w:val="right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br/>
        <w:t>постановлением Администрации</w:t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603152" w:rsidRPr="005F2D3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2B328E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3939E2" w:rsidRPr="005F2D3F">
        <w:rPr>
          <w:rFonts w:ascii="Arial" w:eastAsia="Times New Roman" w:hAnsi="Arial" w:cs="Arial"/>
          <w:sz w:val="24"/>
          <w:szCs w:val="24"/>
          <w:lang w:eastAsia="ru-RU"/>
        </w:rPr>
        <w:br/>
        <w:t>от 22.06.22г. № 5</w:t>
      </w:r>
      <w:r w:rsidR="00603152" w:rsidRPr="005F2D3F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0" w:name="_GoBack"/>
      <w:bookmarkEnd w:id="0"/>
      <w:r w:rsidRPr="005F2D3F">
        <w:rPr>
          <w:rFonts w:ascii="Arial" w:eastAsia="Times New Roman" w:hAnsi="Arial" w:cs="Arial"/>
          <w:color w:val="474747"/>
          <w:sz w:val="24"/>
          <w:szCs w:val="24"/>
          <w:lang w:eastAsia="ru-RU"/>
        </w:rPr>
        <w:br/>
      </w:r>
    </w:p>
    <w:p w:rsidR="009664F1" w:rsidRPr="005F2D3F" w:rsidRDefault="00A50016" w:rsidP="009664F1">
      <w:pPr>
        <w:jc w:val="center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5F2D3F">
        <w:rPr>
          <w:rFonts w:ascii="Arial" w:eastAsia="Times New Roman" w:hAnsi="Arial" w:cs="Arial"/>
          <w:b/>
          <w:sz w:val="32"/>
          <w:szCs w:val="32"/>
          <w:lang w:eastAsia="ru-RU"/>
        </w:rPr>
        <w:t>ПОРЯДОК</w:t>
      </w:r>
      <w:r w:rsidRPr="005F2D3F">
        <w:rPr>
          <w:rFonts w:ascii="Arial" w:eastAsia="Times New Roman" w:hAnsi="Arial" w:cs="Arial"/>
          <w:b/>
          <w:sz w:val="32"/>
          <w:szCs w:val="32"/>
          <w:lang w:eastAsia="ru-RU"/>
        </w:rPr>
        <w:br/>
        <w:t>утверждения схемы размещения на землях</w:t>
      </w:r>
      <w:r w:rsidRPr="005F2D3F">
        <w:rPr>
          <w:rFonts w:ascii="Arial" w:eastAsia="Times New Roman" w:hAnsi="Arial" w:cs="Arial"/>
          <w:b/>
          <w:sz w:val="32"/>
          <w:szCs w:val="32"/>
          <w:lang w:eastAsia="ru-RU"/>
        </w:rPr>
        <w:br/>
        <w:t>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  <w:r w:rsidRPr="005F2D3F">
        <w:rPr>
          <w:rFonts w:ascii="Arial" w:eastAsia="Times New Roman" w:hAnsi="Arial" w:cs="Arial"/>
          <w:color w:val="474747"/>
          <w:sz w:val="32"/>
          <w:szCs w:val="32"/>
          <w:lang w:eastAsia="ru-RU"/>
        </w:rPr>
        <w:br/>
      </w:r>
    </w:p>
    <w:p w:rsidR="009664F1" w:rsidRPr="005F2D3F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Настоящий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Порядок), разработанный в соответствии с частью 1 статьи 39.36-1 Земельного кодекса Российской Федерации, устанавливает процедуру  разработки, утверждения и изменения   схемы размещения на землях или земельных участках, находящихся в</w:t>
      </w:r>
      <w:proofErr w:type="gramEnd"/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гаражей, являющихся некапитальными сооружениями (далее – некапитальные гаражи), либо стоянки технических или других средств передвижения инвалидов вблизи их места жительства (далее – стоянка средств передвижения инвалидов).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2. Размещение на землях или земельных участках, находящихся в 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объектов, используемых для собственных нужд (далее – схема размещения).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3. Схема размещения разрабатывается и утверждается </w:t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603152" w:rsidRPr="005F2D3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уполномоченный орган).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4. Разработка схемы размещения осуществляется уполномоченным органом с учетом сведений о фактическом количестве инвалидов, проживающих в границах муниципального образования</w:t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603152" w:rsidRPr="005F2D3F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, сведений Единого государственного реестра недвижимости, предложений физических, юридических лиц, органов государственной власти и местного самоуправления, в том числе уполномоченных на предоставление земельных участков.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5. Информация о разработке схемы размещения публикуется на официальном сайте уполномоченного органа в информационно-телекоммуникационной сети «Интернет».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6. В течение тридцати календарных дней со дня опубликования на официальном сайте уполномоченного органа информации о разработке схемы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размещения физические, юридические лица, органы государственной власти и местного самоуправления (далее – заинтересованные лица) направляют в уполномоченный орган свои предложения для включения в схему размещения.</w:t>
      </w:r>
    </w:p>
    <w:p w:rsidR="009664F1" w:rsidRPr="005F2D3F" w:rsidRDefault="00A50016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>Предложения должны содержать сведения, указанные в пункте 7 настоящего Порядка.</w:t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664F1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>7. Схема размещения состоит из текстовой и графической частей.</w:t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br/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9664F1" w:rsidRPr="005F2D3F" w:rsidRDefault="00A50016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9664F1" w:rsidRPr="005F2D3F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79-ФЗ «О внесении изменений в отдельные законодательные акты Российской Федерации», а также стоянки средств передвижения инвалидов, предоставленных им до дня вступления в силу Федерального закона от 5 апреля 2021 года          № 79-ФЗ «О внесении изменений в отдельные законодательные акты Российской Федерации».</w:t>
      </w:r>
      <w:proofErr w:type="gramEnd"/>
    </w:p>
    <w:p w:rsidR="009664F1" w:rsidRPr="005F2D3F" w:rsidRDefault="00A50016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664F1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>9. В случае отказа о внесении в схему размещения предложений заинтересованных лиц по основаниям, указанным в пункте 10 настоящего Порядка, уполномоченный орган в течение семи календарных дней информирует заинтересованное лицо с указанием причин такого отказа.</w:t>
      </w:r>
    </w:p>
    <w:p w:rsidR="009664F1" w:rsidRPr="005F2D3F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10. Земли или земельные участки не подлежат включению в схему размещения в случаях, если:</w:t>
      </w:r>
    </w:p>
    <w:p w:rsidR="009664F1" w:rsidRPr="005F2D3F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а) в отношении земельного участка проводятся  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</w:t>
      </w:r>
      <w:proofErr w:type="gramEnd"/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9664F1" w:rsidRPr="005F2D3F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б)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br/>
        <w:t>в) 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автомобилей;</w:t>
      </w:r>
    </w:p>
    <w:p w:rsidR="009664F1" w:rsidRPr="005F2D3F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г) расположение в границах территории общего пользования, на существующих инженерных сетях, коммуникациях, сооружениях;</w:t>
      </w:r>
    </w:p>
    <w:p w:rsidR="009664F1" w:rsidRPr="005F2D3F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д) отсутствует доступ к земле или земельному участку с территории общего пользования.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Включение в схему размещения земельных участков, находящихся в федеральной  собственности или в собственности Курской области осуществляется уполномоченным органом по согласованию с федеральным органом исполнительной власти или уполномоченным органом исполнительной власти Курской области, осуществляющими полномочия собственника земельных участков, на которых планируется размещение некапитальных гаражей либо стоянки средств передвижения инвалидов, путем направления в их адрес проекта схемы размещения.</w:t>
      </w:r>
      <w:proofErr w:type="gramEnd"/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Срок такого согласования не может превышать 15 календарных дней. В случае неполучения в установленный срок от согласующего органа отказа в согласовании, схема размещения считается согласованной с таким органом.</w:t>
      </w:r>
    </w:p>
    <w:p w:rsidR="009664F1" w:rsidRPr="005F2D3F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12. Схема размещения утверждается муниципальным правовым актом уполномоченного органа.</w:t>
      </w:r>
    </w:p>
    <w:p w:rsidR="009664F1" w:rsidRPr="005F2D3F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13. 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 настоящим пунктом.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Исключение мест размещения некапитальных гаражей либо стоянки средств передвижения инвалидов из схемы размещения осуществляется в случаях: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если предусмотренное схемой размещения место для размещения некапитальных гаражей либо стоянки средств передвижения инвалидов в течение 6 месяцев со дня утверждения схемы размещения оказалось невостребованным;</w:t>
      </w:r>
    </w:p>
    <w:p w:rsidR="009664F1" w:rsidRPr="005F2D3F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соответствующим уполномоченным органом принято решение об изъятии земельного участка для государственных или муниципальных нужд;</w:t>
      </w:r>
    </w:p>
    <w:p w:rsidR="009664F1" w:rsidRPr="005F2D3F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если место для размещения некапитальных гаражей либо стоянки средств передвижения инвалидов попало в утвержденную в установленном порядке охранную зону, не допускающую размещение некапитальных сооружений, либо стоянки технических и других средств передвижения;</w:t>
      </w:r>
    </w:p>
    <w:p w:rsidR="00F34D80" w:rsidRPr="005F2D3F" w:rsidRDefault="009664F1" w:rsidP="009664F1">
      <w:pPr>
        <w:jc w:val="both"/>
        <w:rPr>
          <w:rFonts w:ascii="Arial" w:hAnsi="Arial" w:cs="Arial"/>
          <w:sz w:val="24"/>
          <w:szCs w:val="24"/>
        </w:rPr>
      </w:pPr>
      <w:r w:rsidRPr="005F2D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-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поступление в уполномоченный орган отказа заинтересованного лица в пользовании местом размещения некапитального гаража либо стоянкой средств передвижения инвалидов.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F2D3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50016" w:rsidRPr="005F2D3F">
        <w:rPr>
          <w:rFonts w:ascii="Arial" w:eastAsia="Times New Roman" w:hAnsi="Arial" w:cs="Arial"/>
          <w:sz w:val="24"/>
          <w:szCs w:val="24"/>
          <w:lang w:eastAsia="ru-RU"/>
        </w:rPr>
        <w:t>13. Утвержденная уполномоченным органом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 информационно-телекоммуникационной сети «Интернет».</w:t>
      </w:r>
    </w:p>
    <w:sectPr w:rsidR="00F34D80" w:rsidRPr="005F2D3F" w:rsidSect="009664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50016"/>
    <w:rsid w:val="00191B17"/>
    <w:rsid w:val="002B328E"/>
    <w:rsid w:val="003939E2"/>
    <w:rsid w:val="004F7AF6"/>
    <w:rsid w:val="005F2D3F"/>
    <w:rsid w:val="00603152"/>
    <w:rsid w:val="009664F1"/>
    <w:rsid w:val="00A50016"/>
    <w:rsid w:val="00B3583E"/>
    <w:rsid w:val="00F3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2022-06-01T10:47:00Z</dcterms:created>
  <dcterms:modified xsi:type="dcterms:W3CDTF">2022-07-05T08:13:00Z</dcterms:modified>
</cp:coreProperties>
</file>